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992D3" w14:textId="53F78C47" w:rsidR="004728A2" w:rsidRPr="00742CAC" w:rsidRDefault="004728A2" w:rsidP="00CB53B8">
      <w:pPr>
        <w:rPr>
          <w:b/>
          <w:bCs/>
        </w:rPr>
      </w:pPr>
      <w:r w:rsidRPr="00742CAC">
        <w:rPr>
          <w:b/>
          <w:bCs/>
        </w:rPr>
        <w:t>Student</w:t>
      </w:r>
      <w:r w:rsidR="00742CAC" w:rsidRPr="00742CAC">
        <w:rPr>
          <w:b/>
          <w:bCs/>
        </w:rPr>
        <w:t>’s</w:t>
      </w:r>
      <w:r w:rsidRPr="00742CAC">
        <w:rPr>
          <w:b/>
          <w:bCs/>
        </w:rPr>
        <w:t xml:space="preserve"> </w:t>
      </w:r>
      <w:r w:rsidR="00F429A4" w:rsidRPr="00742CAC">
        <w:rPr>
          <w:b/>
          <w:bCs/>
        </w:rPr>
        <w:t>Name</w:t>
      </w:r>
    </w:p>
    <w:p w14:paraId="15475DD0" w14:textId="0BCF2CD2" w:rsidR="00742CAC" w:rsidRDefault="00742CAC" w:rsidP="00CB53B8">
      <w:r w:rsidRPr="00742CAC">
        <w:t>Fass, P. S. (1993). Making and remaking an event: The Leopold and Loeb case in American culture. </w:t>
      </w:r>
      <w:r w:rsidRPr="00742CAC">
        <w:rPr>
          <w:i/>
          <w:iCs/>
        </w:rPr>
        <w:t>The Journal of American History</w:t>
      </w:r>
      <w:r w:rsidRPr="00742CAC">
        <w:t>, </w:t>
      </w:r>
      <w:r w:rsidRPr="00742CAC">
        <w:rPr>
          <w:i/>
          <w:iCs/>
        </w:rPr>
        <w:t>80</w:t>
      </w:r>
      <w:r w:rsidRPr="00742CAC">
        <w:t>(3), 919-951.</w:t>
      </w:r>
    </w:p>
    <w:p w14:paraId="21E011A9" w14:textId="77777777" w:rsidR="006570B2" w:rsidRDefault="006570B2" w:rsidP="00CB53B8">
      <w:pPr>
        <w:ind w:firstLine="720"/>
      </w:pPr>
      <w:r>
        <w:t xml:space="preserve">The murder of Bobby Franks, a child, leads to the conviction of Richard Loeb and Nathan Leopold Jr. Fass studies this case while in her writing on matters that concern child kidnapping. (920). she reinstates that the discussions she lays down in the article are major concerns for the culture in the 21st century: Sexuality, psychology childhood, and the non-rational self. She provides a background storyline illustrating the day when Bobby Frank’s death hit the news and the events surrounding the mysterious death and how the media portrayed it. She hails the role that newspapers played in helping unfold the facts of the story, describing it as strategic (922). When the identity of Frank is known, it becomes a mystery for what would be the motive of his death. Loeb and Leopold are described as rich kids with no social responsibilities (924). Nathan is held for more than a day in custody because his eyeglasses are found at the site of the murder, before being permitted to communicate with their parents. Robert Crowe is the prosecutor who at a point described the case as a “hanging case” (930). Darrow led the defense team which was defined by the press as a “million-dollar-defense” which led to a lot of writings concerning the insanity defense and how far it had come. However, they pleaded guilty. The press took their space to depict psychiatrists as bare professionals of ego (938). </w:t>
      </w:r>
      <w:r w:rsidR="00130C4F">
        <w:t xml:space="preserve"> </w:t>
      </w:r>
      <w:r>
        <w:t xml:space="preserve">Later, Loeb is brutally murdered at Illinois Penitentiary in 1936 by James Day who was an inmate too over allegations of sexual assault (941). </w:t>
      </w:r>
      <w:r w:rsidR="00130C4F">
        <w:t xml:space="preserve"> </w:t>
      </w:r>
      <w:r>
        <w:t xml:space="preserve">On the other hand, Leopold gets released on parole in 1958. </w:t>
      </w:r>
      <w:r w:rsidR="00130C4F">
        <w:t xml:space="preserve"> </w:t>
      </w:r>
      <w:r>
        <w:t>Fass, in this article, uses the case of Leopold and Loeb to illustrate how their publicity into the world had even affected their case, an effect she calls Cultural discourse (951).</w:t>
      </w:r>
    </w:p>
    <w:p w14:paraId="1302CCE1" w14:textId="1FCDF011" w:rsidR="00742CAC" w:rsidRDefault="00742CAC" w:rsidP="00CB53B8">
      <w:r w:rsidRPr="00742CAC">
        <w:lastRenderedPageBreak/>
        <w:t xml:space="preserve">Longley, K. (2012). Between sorrow and pride: The </w:t>
      </w:r>
      <w:r>
        <w:t>M</w:t>
      </w:r>
      <w:r w:rsidRPr="00742CAC">
        <w:t xml:space="preserve">orenci </w:t>
      </w:r>
      <w:r>
        <w:t>N</w:t>
      </w:r>
      <w:r w:rsidRPr="00742CAC">
        <w:t>ine, the Vietnam War, and memory in small-town America. </w:t>
      </w:r>
      <w:r w:rsidRPr="00742CAC">
        <w:rPr>
          <w:i/>
          <w:iCs/>
        </w:rPr>
        <w:t>Pacific Historical Review</w:t>
      </w:r>
      <w:r w:rsidRPr="00742CAC">
        <w:t>, </w:t>
      </w:r>
      <w:r w:rsidRPr="00742CAC">
        <w:rPr>
          <w:i/>
          <w:iCs/>
        </w:rPr>
        <w:t>82</w:t>
      </w:r>
      <w:r w:rsidRPr="00742CAC">
        <w:t>(1), 1-32.</w:t>
      </w:r>
    </w:p>
    <w:p w14:paraId="51BE7F49" w14:textId="77777777" w:rsidR="00182DC7" w:rsidRDefault="00CB648D" w:rsidP="00CB53B8">
      <w:pPr>
        <w:ind w:firstLine="720"/>
      </w:pPr>
      <w:r>
        <w:t xml:space="preserve">In the beginning, Kyle presents a short background of information on how the Marine Nine comes to life. </w:t>
      </w:r>
      <w:r w:rsidR="00130C4F">
        <w:t xml:space="preserve"> </w:t>
      </w:r>
      <w:r>
        <w:t xml:space="preserve">Nine Young men head to San Diego for a boot camp that lasts eight weeks (2). Their parents were in the same economic class and shared a lot of amenities. </w:t>
      </w:r>
      <w:r w:rsidR="00130C4F">
        <w:t xml:space="preserve"> </w:t>
      </w:r>
      <w:r>
        <w:t xml:space="preserve">Under Sgt. Bowser, they receive training that prepares them for the battleground. </w:t>
      </w:r>
      <w:r w:rsidR="00130C4F">
        <w:t xml:space="preserve"> </w:t>
      </w:r>
      <w:r>
        <w:t xml:space="preserve">Starting in August 1967(4), the group members die in combat at a rate never witnessed before. </w:t>
      </w:r>
      <w:r w:rsidR="00130C4F">
        <w:t xml:space="preserve"> </w:t>
      </w:r>
      <w:r>
        <w:t xml:space="preserve">Bobby Dale dies first, then Stan, then Van, then Larry, then Robert in that order. </w:t>
      </w:r>
      <w:r w:rsidR="00130C4F">
        <w:t xml:space="preserve"> </w:t>
      </w:r>
      <w:r>
        <w:t xml:space="preserve">Clive, who dies last, brings the group to national attention. Being the last one to head to Vietnam, he dies in 1969, November (4). </w:t>
      </w:r>
      <w:r w:rsidR="00130C4F">
        <w:t xml:space="preserve"> </w:t>
      </w:r>
      <w:r>
        <w:t xml:space="preserve">This leads to the press’s hailing of the patriotism of the people of Morenci. </w:t>
      </w:r>
      <w:r w:rsidR="00130C4F">
        <w:t xml:space="preserve"> </w:t>
      </w:r>
      <w:r>
        <w:t xml:space="preserve">The Vietnam War was still on. Its effects are hard felt and most Americans have a hard time coming to terms with the aftermath of the war. </w:t>
      </w:r>
      <w:r w:rsidR="00130C4F">
        <w:t xml:space="preserve"> </w:t>
      </w:r>
      <w:r>
        <w:t xml:space="preserve">Survivors become valued (11) as they held witness stories of what it was like in the actual war battlegrounds. Greenlee County also lost a lot of its members to the devastating war. Different people move to other areas to start a new life away from the losses the war brings. Scruggs and his comrades raise money to set up a memorial. Maya Lin, a Yale undergraduate, designs the black granite walls which get embedded by the names of the service people who die at the war (16). </w:t>
      </w:r>
      <w:r w:rsidR="00130C4F">
        <w:t xml:space="preserve"> </w:t>
      </w:r>
      <w:r>
        <w:t xml:space="preserve">Criticisms follow but that leads to the addition of a statue flagpole. </w:t>
      </w:r>
      <w:r w:rsidR="00130C4F">
        <w:t xml:space="preserve"> </w:t>
      </w:r>
      <w:r>
        <w:t xml:space="preserve">The criticisms had delayed the unveil date which at last, happens on November 12, 1982 (16). This memorial is believed to have renewed sense of purpose among the veterans. </w:t>
      </w:r>
      <w:r w:rsidR="00130C4F">
        <w:t xml:space="preserve"> </w:t>
      </w:r>
      <w:r>
        <w:t xml:space="preserve">This in turn leads to the creation of more memorials at the state and local level. </w:t>
      </w:r>
      <w:r w:rsidR="00130C4F">
        <w:t xml:space="preserve"> </w:t>
      </w:r>
      <w:r>
        <w:t xml:space="preserve">At the opening of the Morenci high school, another memorial is set up to remember the Morenci Nine. </w:t>
      </w:r>
      <w:r w:rsidR="00130C4F">
        <w:t xml:space="preserve"> </w:t>
      </w:r>
      <w:r>
        <w:t>To illustrate how important the group was, Kyle states that there was a developed sense of pride among the locals and that it raised how the society viewed Morenci (29).</w:t>
      </w:r>
    </w:p>
    <w:p w14:paraId="3C38AF6C" w14:textId="3967B5E7" w:rsidR="00742CAC" w:rsidRDefault="00742CAC" w:rsidP="00CB53B8">
      <w:r w:rsidRPr="00742CAC">
        <w:lastRenderedPageBreak/>
        <w:t>Gold, J. R., &amp; Gold, M. M. (2007). “The graves of the gallant highlanders”: Memory, interpretation and narratives of Culloden. </w:t>
      </w:r>
      <w:r w:rsidRPr="00742CAC">
        <w:rPr>
          <w:i/>
          <w:iCs/>
        </w:rPr>
        <w:t>History &amp; Memory</w:t>
      </w:r>
      <w:r w:rsidRPr="00742CAC">
        <w:t>, </w:t>
      </w:r>
      <w:r w:rsidRPr="00742CAC">
        <w:rPr>
          <w:i/>
          <w:iCs/>
        </w:rPr>
        <w:t>19</w:t>
      </w:r>
      <w:r w:rsidRPr="00742CAC">
        <w:t>(1), 5-38.</w:t>
      </w:r>
    </w:p>
    <w:p w14:paraId="0FFE1DDA" w14:textId="568CCA1A" w:rsidR="00130C4F" w:rsidRDefault="00130C4F" w:rsidP="00CB53B8">
      <w:pPr>
        <w:ind w:firstLine="720"/>
      </w:pPr>
      <w:r>
        <w:t>John and Margaret begin the article by illustrating the establishment at Culloden where the last formal battle had been fought (6).  Through their debut dubbed “memory and remembering</w:t>
      </w:r>
      <w:r w:rsidR="004728A2">
        <w:t>”</w:t>
      </w:r>
      <w:r>
        <w:t xml:space="preserve"> they reaffirm that change has happened over time by illustrating that it has been witnessed that the society has grown from a pre-literate to a literate society, bringing with it more tools for remembering (7). They acknowledge the shift from the concept of the historian Pierre Nora whose tools were songs, rituals, and ceremony (7). For the new modes, a concept of “Commodified mass culture” gets defined as the new powerful channels being used for communication (8) and that they have wide applications and are not just important in the heritage industry. They institute battlefield tourism as having a reliance on how the events are represented, whereby the representation that is eventually used is highly dependent on the concept of remembrance. Notably, they illustrate that, despite such views, the visitors can, on their own, establish a construction of the events based on their experience. At the battle at Culloden, the British opt to pacify the highlands to avoid the onset of a Jacobite Military Action (12).  For the support of the Stuarts, the loyal groups eventually for associations, having over 140 social clubs (14).  Peter Watkins, a filmmaker</w:t>
      </w:r>
      <w:r w:rsidR="00F82B89">
        <w:t>,</w:t>
      </w:r>
      <w:r>
        <w:t xml:space="preserve"> has the view that the battle was not merely a British or Scottish affair and that there had to be underlying conditions that were not yet in the public domain.  In the film he produced, Cinema-verite methods are used to enhance the documentary’s appearance (19).  In its interpretation, the Culloden situation is explained with a series of events that helped shape that progress setting them up in a “golden age” (31).  In the end, they summarize the whole interpretation in the context that “Culloden was a battle in a civil war (32).”</w:t>
      </w:r>
    </w:p>
    <w:p w14:paraId="468ACC51" w14:textId="1AA08B2A" w:rsidR="00742CAC" w:rsidRDefault="00742CAC" w:rsidP="00CB53B8">
      <w:r w:rsidRPr="00742CAC">
        <w:lastRenderedPageBreak/>
        <w:t>McElroy, K. (2015). Remembering Mayberry in White and Black: The Andy Griffith Show’s construction of the south. </w:t>
      </w:r>
      <w:r w:rsidRPr="00742CAC">
        <w:rPr>
          <w:i/>
          <w:iCs/>
        </w:rPr>
        <w:t>Memory Studies</w:t>
      </w:r>
      <w:r w:rsidRPr="00742CAC">
        <w:t>, </w:t>
      </w:r>
      <w:r w:rsidRPr="00742CAC">
        <w:rPr>
          <w:i/>
          <w:iCs/>
        </w:rPr>
        <w:t>8</w:t>
      </w:r>
      <w:r w:rsidRPr="00742CAC">
        <w:t>(4), 440-453.</w:t>
      </w:r>
    </w:p>
    <w:p w14:paraId="0674A147" w14:textId="4151AA07" w:rsidR="0003071D" w:rsidRDefault="0003071D" w:rsidP="00CB53B8">
      <w:pPr>
        <w:ind w:firstLine="720"/>
      </w:pPr>
      <w:r w:rsidRPr="0003071D">
        <w:t>By acknowledging the abundance of sites that hold history in the American South, Kathleen begins by idolizing the importance of such sites concerning the memory of the events that have happened in the past. Linking the fictional Mayberry with the comedy show of 1960, Andy Griffith, She illustrates how the ideology stands. The NYT indicates that Mayberry was a white town. The author reinstates that, though different people may hold different opinions or meanings of what Mayberry stands for, they all remember it (442). A</w:t>
      </w:r>
      <w:r w:rsidR="00F82B89">
        <w:t>t times, African Americans are seen to differ from “Jim Crow Nostalgia,” A reconstruction of the lives</w:t>
      </w:r>
      <w:r w:rsidRPr="0003071D">
        <w:t xml:space="preserve"> of the Blacks as a shared community root. Richard Thompson, a culture scholar</w:t>
      </w:r>
      <w:r w:rsidR="00F82B89">
        <w:t>,</w:t>
      </w:r>
      <w:r w:rsidRPr="0003071D">
        <w:t xml:space="preserve"> states that watching tags today is as smooth as it was centuries back, illustrating how memory has been constructed based on the tags (444). The argument is that the simplicity of tags makes it possible to undergo inclusiveness in different centuries. How they work gets described as invented tradition (445) in that producers had wished to set certain values and norms into the people. The first five programs years were filed in black and white bloggers and readers online went on to insist that Mayberry was not in its entirety all-white (449). White audiences with black commentary used a commentary that was black as a way of proofing Mayberry’s inclusion, a move that gets well received by the masses. The role of television in envisioning this inclusivity and promoting tags is highly regarded. Betsy, a TV analyst</w:t>
      </w:r>
      <w:r w:rsidR="00F82B89">
        <w:t>,</w:t>
      </w:r>
      <w:r w:rsidRPr="0003071D">
        <w:t xml:space="preserve"> says that what viewers cannot find in TV, they cannot find in real life (451). Thus being a memorial site, they offer a form of nostalgic fulfillment and Kyle concludes that it is probably because it never existed (451).</w:t>
      </w:r>
    </w:p>
    <w:sectPr w:rsidR="000307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0BD7" w14:textId="77777777" w:rsidR="00FA0E28" w:rsidRDefault="00FA0E28" w:rsidP="00D234E5">
      <w:pPr>
        <w:spacing w:before="0" w:line="240" w:lineRule="auto"/>
      </w:pPr>
      <w:r>
        <w:separator/>
      </w:r>
    </w:p>
  </w:endnote>
  <w:endnote w:type="continuationSeparator" w:id="0">
    <w:p w14:paraId="0369F52A" w14:textId="77777777" w:rsidR="00FA0E28" w:rsidRDefault="00FA0E28" w:rsidP="00D234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89D5D" w14:textId="77777777" w:rsidR="00FA0E28" w:rsidRDefault="00FA0E28" w:rsidP="00D234E5">
      <w:pPr>
        <w:spacing w:before="0" w:line="240" w:lineRule="auto"/>
      </w:pPr>
      <w:r>
        <w:separator/>
      </w:r>
    </w:p>
  </w:footnote>
  <w:footnote w:type="continuationSeparator" w:id="0">
    <w:p w14:paraId="27E98AFE" w14:textId="77777777" w:rsidR="00FA0E28" w:rsidRDefault="00FA0E28" w:rsidP="00D234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325941"/>
      <w:docPartObj>
        <w:docPartGallery w:val="Page Numbers (Top of Page)"/>
        <w:docPartUnique/>
      </w:docPartObj>
    </w:sdtPr>
    <w:sdtEndPr>
      <w:rPr>
        <w:noProof/>
      </w:rPr>
    </w:sdtEndPr>
    <w:sdtContent>
      <w:p w14:paraId="1A9EFE01" w14:textId="6BFEF7BE" w:rsidR="00D234E5" w:rsidRDefault="00D234E5" w:rsidP="00D234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NjG0tDA1szS1MDZV0lEKTi0uzszPAykwrAUAofSeyCwAAAA="/>
  </w:docVars>
  <w:rsids>
    <w:rsidRoot w:val="008738EA"/>
    <w:rsid w:val="0003071D"/>
    <w:rsid w:val="00031351"/>
    <w:rsid w:val="00130C4F"/>
    <w:rsid w:val="00154E0F"/>
    <w:rsid w:val="00173296"/>
    <w:rsid w:val="00182DC7"/>
    <w:rsid w:val="0042368A"/>
    <w:rsid w:val="004728A2"/>
    <w:rsid w:val="004A7433"/>
    <w:rsid w:val="0050047F"/>
    <w:rsid w:val="0053108D"/>
    <w:rsid w:val="00550F45"/>
    <w:rsid w:val="005C2CFD"/>
    <w:rsid w:val="006570B2"/>
    <w:rsid w:val="00742CAC"/>
    <w:rsid w:val="007B043B"/>
    <w:rsid w:val="007B4217"/>
    <w:rsid w:val="007E3ACC"/>
    <w:rsid w:val="00870E54"/>
    <w:rsid w:val="008738EA"/>
    <w:rsid w:val="00A30FD8"/>
    <w:rsid w:val="00A83D99"/>
    <w:rsid w:val="00CB53B8"/>
    <w:rsid w:val="00CB648D"/>
    <w:rsid w:val="00D234E5"/>
    <w:rsid w:val="00D477AC"/>
    <w:rsid w:val="00E63646"/>
    <w:rsid w:val="00E87DD3"/>
    <w:rsid w:val="00F1249D"/>
    <w:rsid w:val="00F429A4"/>
    <w:rsid w:val="00F82B89"/>
    <w:rsid w:val="00FA0E28"/>
    <w:rsid w:val="00FF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53716"/>
  <w15:chartTrackingRefBased/>
  <w15:docId w15:val="{FC7D135C-39B2-4F7F-8C3C-11B2FD54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before="24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AC"/>
    <w:pPr>
      <w:jc w:val="left"/>
    </w:pPr>
  </w:style>
  <w:style w:type="paragraph" w:styleId="Heading1">
    <w:name w:val="heading 1"/>
    <w:basedOn w:val="Normal"/>
    <w:next w:val="Normal"/>
    <w:link w:val="Heading1Char"/>
    <w:uiPriority w:val="9"/>
    <w:qFormat/>
    <w:rsid w:val="0050047F"/>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B4217"/>
    <w:pPr>
      <w:keepNext/>
      <w:keepLines/>
      <w:spacing w:before="40"/>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47F"/>
    <w:rPr>
      <w:rFonts w:eastAsiaTheme="majorEastAsia" w:cstheme="majorBidi"/>
      <w:b/>
      <w:szCs w:val="32"/>
    </w:rPr>
  </w:style>
  <w:style w:type="character" w:customStyle="1" w:styleId="Heading2Char">
    <w:name w:val="Heading 2 Char"/>
    <w:basedOn w:val="DefaultParagraphFont"/>
    <w:link w:val="Heading2"/>
    <w:uiPriority w:val="9"/>
    <w:rsid w:val="007B4217"/>
    <w:rPr>
      <w:rFonts w:eastAsiaTheme="majorEastAsia" w:cstheme="majorBidi"/>
      <w:b/>
      <w:szCs w:val="26"/>
    </w:rPr>
  </w:style>
  <w:style w:type="paragraph" w:styleId="Header">
    <w:name w:val="header"/>
    <w:basedOn w:val="Normal"/>
    <w:link w:val="HeaderChar"/>
    <w:uiPriority w:val="99"/>
    <w:unhideWhenUsed/>
    <w:rsid w:val="00D234E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234E5"/>
  </w:style>
  <w:style w:type="paragraph" w:styleId="Footer">
    <w:name w:val="footer"/>
    <w:basedOn w:val="Normal"/>
    <w:link w:val="FooterChar"/>
    <w:uiPriority w:val="99"/>
    <w:unhideWhenUsed/>
    <w:rsid w:val="00D234E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2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ochieng</dc:creator>
  <cp:keywords/>
  <dc:description/>
  <cp:lastModifiedBy>Antony Ouma</cp:lastModifiedBy>
  <cp:revision>25</cp:revision>
  <dcterms:created xsi:type="dcterms:W3CDTF">2021-07-01T12:37:00Z</dcterms:created>
  <dcterms:modified xsi:type="dcterms:W3CDTF">2021-07-01T17:56:00Z</dcterms:modified>
</cp:coreProperties>
</file>